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D" w:rsidRDefault="00B8554D" w:rsidP="00B8554D">
      <w:pPr>
        <w:jc w:val="center"/>
        <w:rPr>
          <w:noProof/>
        </w:rPr>
      </w:pP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0E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0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Pr="00D500EC">
        <w:rPr>
          <w:rFonts w:ascii="Times New Roman" w:hAnsi="Times New Roman" w:cs="Times New Roman"/>
          <w:sz w:val="24"/>
          <w:szCs w:val="24"/>
        </w:rPr>
        <w:t xml:space="preserve">  СЕЛЬСОВЕТ АСЕКЕЕВСКОГО  РАЙОНА  ОРЕНБУРГСКОЙ  ОБЛАСТИ</w:t>
      </w: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54D" w:rsidRPr="00D500EC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00E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500E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8554D" w:rsidTr="00B8554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54D" w:rsidRDefault="00B8554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8554D" w:rsidRDefault="008F3C40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ED4C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54D">
        <w:rPr>
          <w:rFonts w:ascii="Times New Roman" w:hAnsi="Times New Roman" w:cs="Times New Roman"/>
          <w:sz w:val="28"/>
          <w:szCs w:val="28"/>
        </w:rPr>
        <w:t>.20</w:t>
      </w:r>
      <w:r w:rsidR="00C96E25">
        <w:rPr>
          <w:rFonts w:ascii="Times New Roman" w:hAnsi="Times New Roman" w:cs="Times New Roman"/>
          <w:sz w:val="28"/>
          <w:szCs w:val="28"/>
        </w:rPr>
        <w:t>21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96E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6E2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96E25">
        <w:rPr>
          <w:rFonts w:ascii="Times New Roman" w:hAnsi="Times New Roman" w:cs="Times New Roman"/>
          <w:sz w:val="24"/>
          <w:szCs w:val="24"/>
        </w:rPr>
        <w:t>секеево</w:t>
      </w:r>
      <w:proofErr w:type="spellEnd"/>
      <w:r w:rsidR="00C96E25">
        <w:rPr>
          <w:rFonts w:ascii="Times New Roman" w:hAnsi="Times New Roman" w:cs="Times New Roman"/>
          <w:sz w:val="24"/>
          <w:szCs w:val="24"/>
        </w:rPr>
        <w:t xml:space="preserve">      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554D">
        <w:rPr>
          <w:rFonts w:ascii="Times New Roman" w:hAnsi="Times New Roman" w:cs="Times New Roman"/>
          <w:sz w:val="28"/>
          <w:szCs w:val="28"/>
        </w:rPr>
        <w:t>-п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EC" w:rsidRPr="00D500EC" w:rsidRDefault="00B8554D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500EC" w:rsidRDefault="00D500EC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0EC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500EC" w:rsidRDefault="00C96E25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Асекеевский</w:t>
      </w:r>
      <w:r w:rsidR="00D500E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500EC" w:rsidRPr="00D500EC">
        <w:rPr>
          <w:rFonts w:ascii="Times New Roman" w:hAnsi="Times New Roman" w:cs="Times New Roman"/>
          <w:sz w:val="28"/>
          <w:szCs w:val="28"/>
        </w:rPr>
        <w:t>Асекеевско</w:t>
      </w:r>
      <w:r w:rsidR="00D500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500EC" w:rsidRPr="00D500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00EC">
        <w:rPr>
          <w:rFonts w:ascii="Times New Roman" w:hAnsi="Times New Roman" w:cs="Times New Roman"/>
          <w:sz w:val="28"/>
          <w:szCs w:val="28"/>
        </w:rPr>
        <w:t>а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  Оренбургской области </w:t>
      </w:r>
    </w:p>
    <w:p w:rsidR="00D500EC" w:rsidRPr="00D500EC" w:rsidRDefault="00C96E25" w:rsidP="00D50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 – 2024 годы</w:t>
      </w:r>
    </w:p>
    <w:p w:rsidR="00B8554D" w:rsidRDefault="00B8554D" w:rsidP="00D50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EC" w:rsidRPr="00D500EC" w:rsidRDefault="00B8554D" w:rsidP="00D500EC">
      <w:pPr>
        <w:pStyle w:val="a5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0EC" w:rsidRPr="00D500EC">
        <w:rPr>
          <w:rFonts w:ascii="Times New Roman" w:hAnsi="Times New Roman" w:cs="Times New Roman"/>
          <w:sz w:val="28"/>
          <w:szCs w:val="28"/>
        </w:rPr>
        <w:t>В соответствии со статьей 30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00EC" w:rsidRPr="00D500EC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Закона</w:t>
        </w:r>
      </w:hyperlink>
      <w:r w:rsidR="00D500EC" w:rsidRPr="00D500EC">
        <w:rPr>
          <w:rFonts w:ascii="Times New Roman" w:hAnsi="Times New Roman" w:cs="Times New Roman"/>
          <w:sz w:val="28"/>
          <w:szCs w:val="28"/>
        </w:rPr>
        <w:t xml:space="preserve"> Оренбургской области от 10 октября 2007 года №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r w:rsidR="00D500EC" w:rsidRPr="00D500EC">
        <w:rPr>
          <w:rFonts w:ascii="Times New Roman" w:hAnsi="Times New Roman" w:cs="Times New Roman"/>
          <w:sz w:val="28"/>
          <w:szCs w:val="28"/>
        </w:rPr>
        <w:t>1611/339-</w:t>
      </w:r>
      <w:r w:rsidR="00D500EC" w:rsidRPr="00D500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0EC" w:rsidRPr="00D500EC">
        <w:rPr>
          <w:rFonts w:ascii="Times New Roman" w:hAnsi="Times New Roman" w:cs="Times New Roman"/>
          <w:sz w:val="28"/>
          <w:szCs w:val="28"/>
        </w:rPr>
        <w:t>V-ОЗ «О муниципальной службе в Оренбургской области»,</w:t>
      </w:r>
      <w:r w:rsidR="00D500EC">
        <w:rPr>
          <w:rFonts w:ascii="Times New Roman" w:hAnsi="Times New Roman" w:cs="Times New Roman"/>
          <w:sz w:val="28"/>
          <w:szCs w:val="28"/>
        </w:rPr>
        <w:t xml:space="preserve"> </w:t>
      </w:r>
      <w:r w:rsidR="00D500EC" w:rsidRPr="00D500EC">
        <w:rPr>
          <w:rFonts w:ascii="Times New Roman" w:hAnsi="Times New Roman" w:cs="Times New Roman"/>
          <w:sz w:val="28"/>
          <w:szCs w:val="28"/>
        </w:rPr>
        <w:t xml:space="preserve">руководствуясь статьей 27 Устава муниципального образования </w:t>
      </w:r>
      <w:r w:rsidR="00C96E25">
        <w:rPr>
          <w:rFonts w:ascii="Times New Roman" w:hAnsi="Times New Roman" w:cs="Times New Roman"/>
          <w:sz w:val="28"/>
          <w:szCs w:val="28"/>
        </w:rPr>
        <w:t>Асекеевский</w:t>
      </w:r>
      <w:r w:rsidR="00D500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00EC" w:rsidRPr="00D500EC">
        <w:rPr>
          <w:rFonts w:ascii="Times New Roman" w:hAnsi="Times New Roman" w:cs="Times New Roman"/>
          <w:sz w:val="28"/>
          <w:szCs w:val="28"/>
        </w:rPr>
        <w:t>, постановля</w:t>
      </w:r>
      <w:r w:rsidR="00D500EC">
        <w:rPr>
          <w:rFonts w:ascii="Times New Roman" w:hAnsi="Times New Roman" w:cs="Times New Roman"/>
          <w:sz w:val="28"/>
          <w:szCs w:val="28"/>
        </w:rPr>
        <w:t>ет</w:t>
      </w:r>
      <w:r w:rsidR="00D500EC" w:rsidRPr="00D500E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500EC" w:rsidRDefault="00D500EC" w:rsidP="00D500EC">
      <w:pPr>
        <w:pStyle w:val="a5"/>
        <w:jc w:val="both"/>
        <w:rPr>
          <w:rFonts w:ascii="Times New Roman" w:hAnsi="Times New Roman" w:cs="Times New Roman"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      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1. Утвердить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программу развития муниципальной службы в</w:t>
      </w:r>
      <w:r w:rsidRPr="00D5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="00C96E25">
        <w:rPr>
          <w:rFonts w:ascii="Times New Roman" w:hAnsi="Times New Roman" w:cs="Times New Roman"/>
          <w:sz w:val="28"/>
          <w:szCs w:val="28"/>
        </w:rPr>
        <w:t>Асекеевский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>Асекеевско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>го</w:t>
      </w:r>
      <w:proofErr w:type="spellEnd"/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а </w:t>
      </w:r>
      <w:r w:rsidR="00C96E25">
        <w:rPr>
          <w:rFonts w:ascii="Times New Roman" w:hAnsi="Times New Roman" w:cs="Times New Roman"/>
          <w:iCs/>
          <w:spacing w:val="20"/>
          <w:sz w:val="28"/>
          <w:szCs w:val="28"/>
        </w:rPr>
        <w:t>Оренбургской области на 2021</w:t>
      </w:r>
      <w:r w:rsidRPr="00D500EC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– 2024 годы (далее – Программа) согласно приложению.</w:t>
      </w:r>
    </w:p>
    <w:p w:rsidR="00D500EC" w:rsidRPr="00D500EC" w:rsidRDefault="00D500EC" w:rsidP="00D50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D50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0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0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</w:t>
      </w:r>
      <w:r w:rsidR="005073A0">
        <w:rPr>
          <w:rFonts w:ascii="Times New Roman" w:hAnsi="Times New Roman" w:cs="Times New Roman"/>
          <w:sz w:val="28"/>
          <w:szCs w:val="28"/>
        </w:rPr>
        <w:t>у</w:t>
      </w:r>
      <w:r w:rsidRPr="00D500EC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  <w:proofErr w:type="spellStart"/>
      <w:r w:rsidR="00C96E25">
        <w:rPr>
          <w:rFonts w:ascii="Times New Roman" w:hAnsi="Times New Roman" w:cs="Times New Roman"/>
          <w:sz w:val="28"/>
          <w:szCs w:val="28"/>
        </w:rPr>
        <w:t>Хуббатуллина</w:t>
      </w:r>
      <w:proofErr w:type="spellEnd"/>
      <w:r w:rsidR="00C96E25">
        <w:rPr>
          <w:rFonts w:ascii="Times New Roman" w:hAnsi="Times New Roman" w:cs="Times New Roman"/>
          <w:sz w:val="28"/>
          <w:szCs w:val="28"/>
        </w:rPr>
        <w:t xml:space="preserve"> Р.М.</w:t>
      </w:r>
      <w:r w:rsidRPr="00D500EC">
        <w:rPr>
          <w:rFonts w:ascii="Times New Roman" w:hAnsi="Times New Roman" w:cs="Times New Roman"/>
          <w:sz w:val="28"/>
          <w:szCs w:val="28"/>
        </w:rPr>
        <w:t>.</w:t>
      </w:r>
    </w:p>
    <w:p w:rsidR="00D500EC" w:rsidRPr="00D500EC" w:rsidRDefault="005073A0" w:rsidP="00D50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500EC" w:rsidRPr="00D500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D500EC" w:rsidRPr="00D500EC" w:rsidRDefault="00D500EC" w:rsidP="00D500EC">
      <w:pPr>
        <w:pStyle w:val="a5"/>
        <w:jc w:val="both"/>
        <w:rPr>
          <w:rFonts w:ascii="Times New Roman" w:hAnsi="Times New Roman" w:cs="Times New Roman"/>
          <w:iCs/>
          <w:spacing w:val="20"/>
          <w:sz w:val="28"/>
          <w:szCs w:val="28"/>
        </w:rPr>
      </w:pPr>
    </w:p>
    <w:p w:rsidR="00CE5936" w:rsidRDefault="00CE593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7000F5" w:rsidP="009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54D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3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96E25"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Pr="001D3FE9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</w:t>
      </w:r>
      <w:r w:rsidR="008F3C40">
        <w:rPr>
          <w:rFonts w:ascii="Times New Roman" w:hAnsi="Times New Roman" w:cs="Times New Roman"/>
          <w:sz w:val="24"/>
          <w:szCs w:val="24"/>
        </w:rPr>
        <w:t xml:space="preserve"> дело - 2,  прокурору района,</w:t>
      </w:r>
      <w:bookmarkStart w:id="0" w:name="_GoBack"/>
      <w:bookmarkEnd w:id="0"/>
      <w:r w:rsidRPr="001D3FE9">
        <w:rPr>
          <w:rFonts w:ascii="Times New Roman" w:hAnsi="Times New Roman" w:cs="Times New Roman"/>
          <w:sz w:val="24"/>
          <w:szCs w:val="24"/>
        </w:rPr>
        <w:t xml:space="preserve"> на информационные стенды.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25" w:rsidRDefault="00C96E2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25" w:rsidRDefault="00C96E2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EA" w:rsidRPr="00C240EA" w:rsidRDefault="00C240EA" w:rsidP="00C240E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0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C240EA" w:rsidRPr="00C240EA" w:rsidRDefault="00C96E25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Асекеевский</w:t>
      </w:r>
      <w:r w:rsidR="00C240EA"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 </w:t>
      </w:r>
    </w:p>
    <w:p w:rsidR="00C240EA" w:rsidRPr="00C240EA" w:rsidRDefault="00C240EA" w:rsidP="00C240E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96E25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C96E25">
        <w:rPr>
          <w:rFonts w:ascii="Times New Roman" w:eastAsia="Calibri" w:hAnsi="Times New Roman" w:cs="Times New Roman"/>
          <w:sz w:val="24"/>
          <w:szCs w:val="24"/>
          <w:lang w:eastAsia="en-US"/>
        </w:rPr>
        <w:t>1.2021 № 1</w:t>
      </w:r>
      <w:r w:rsidRPr="00C240EA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5073A0" w:rsidRDefault="005073A0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Программа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 в муниципальном образовании </w:t>
      </w:r>
    </w:p>
    <w:p w:rsidR="00C240EA" w:rsidRPr="00520408" w:rsidRDefault="00C96E25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Асекеевский</w:t>
      </w:r>
      <w:r w:rsidR="00C240E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240EA"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240EA" w:rsidRPr="00520408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</w:t>
      </w:r>
    </w:p>
    <w:p w:rsidR="00C240EA" w:rsidRPr="00520408" w:rsidRDefault="00C96E25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2024 годы</w:t>
      </w:r>
    </w:p>
    <w:p w:rsidR="00C240EA" w:rsidRPr="00D500EC" w:rsidRDefault="00C240EA" w:rsidP="00C240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40EA" w:rsidRPr="00520408" w:rsidRDefault="00C240EA" w:rsidP="00C240E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C240EA" w:rsidRPr="00520408" w:rsidRDefault="00C240EA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программы развития муниципальной службы в муниципальном образовании </w:t>
      </w:r>
    </w:p>
    <w:p w:rsidR="00C240EA" w:rsidRPr="00520408" w:rsidRDefault="00C96E25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Асекеевский</w:t>
      </w:r>
      <w:r w:rsidR="00C240E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240EA"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240EA" w:rsidRPr="00520408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 </w:t>
      </w:r>
    </w:p>
    <w:p w:rsidR="00C240EA" w:rsidRPr="00520408" w:rsidRDefault="00C96E25" w:rsidP="00C240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2024 годы</w:t>
      </w:r>
    </w:p>
    <w:p w:rsidR="00C240EA" w:rsidRPr="00520408" w:rsidRDefault="00C240EA" w:rsidP="00C240E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(далее - Программа)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293"/>
      </w:tblGrid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C240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C240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муниципальной службы в муниципально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 Оренбургской области, повышения престижа муниципальной службы, а также результативности профессиональной служебной деятельности муниципальных служащих 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образовании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как вида профессиональной деятельности;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консультационно-информационной поддержки 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 местного самоуправления по вопросам муниципальной службы</w:t>
            </w:r>
          </w:p>
        </w:tc>
      </w:tr>
      <w:tr w:rsidR="00C240EA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="00DB0AD1"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имеющих стаж муниципальной службы более 3 лет;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в качестве основы для </w:t>
            </w:r>
            <w:proofErr w:type="gramStart"/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 (далее - методика</w:t>
            </w:r>
            <w:proofErr w:type="gramEnd"/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перечн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квалификационных требований для замещения дол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жностей муниципальной службы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институт наставн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ичества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DB0AD1" w:rsidRPr="00520408" w:rsidRDefault="00DB0AD1" w:rsidP="00DB0A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един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ой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методик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прохождения ис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пытания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институт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наставн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ичества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C240EA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ение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един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ой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методик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прохождения ис</w:t>
            </w:r>
            <w:r w:rsidR="00A85FA0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пытания на муниципальной службе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C240EA" w:rsidRPr="00520408" w:rsidRDefault="00A85FA0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показать </w:t>
            </w:r>
            <w:r w:rsidR="00C240EA"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наиболее высокую эффективность деятельности по осуществлению процессов кадровой работы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C96E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- 2024 годы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профессиональному развитию муниципальных служащих муниципального образования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Оренбургской области осуществляется в рамках текущих расходов органов местного самоуправления муниципального образования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DA6883" w:rsidRPr="00BC52B6" w:rsidTr="00FE1CD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5204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всесторонней оценки профессиональной служебной деятельности государственных гражданских служащих, </w:t>
            </w:r>
            <w:proofErr w:type="gramStart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разработанная</w:t>
            </w:r>
            <w:proofErr w:type="gramEnd"/>
            <w:r w:rsidRPr="0052040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DA6883" w:rsidRPr="00520408" w:rsidRDefault="00DA6883" w:rsidP="00FE1C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08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DA6883" w:rsidRDefault="00DA6883" w:rsidP="00DA6883">
      <w:pPr>
        <w:pStyle w:val="ConsPlusTitle"/>
        <w:jc w:val="center"/>
        <w:outlineLvl w:val="1"/>
      </w:pP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</w:t>
      </w:r>
      <w:r w:rsidRPr="00520408">
        <w:rPr>
          <w:rFonts w:ascii="Times New Roman" w:hAnsi="Times New Roman" w:cs="Times New Roman"/>
          <w:sz w:val="24"/>
          <w:szCs w:val="24"/>
        </w:rPr>
        <w:lastRenderedPageBreak/>
        <w:t>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В настоящее время развитию муниципальной службы присущи следующие проблемы: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как основного источника обновления и пополнения кадрового состава муниципальной службы;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недостаточный уровень престижа муниципальной службы как вида профессиональной деятельности.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</w:t>
      </w:r>
      <w:proofErr w:type="gramStart"/>
      <w:r w:rsidRPr="00520408">
        <w:rPr>
          <w:rFonts w:ascii="Times New Roman" w:hAnsi="Times New Roman" w:cs="Times New Roman"/>
          <w:sz w:val="24"/>
          <w:szCs w:val="24"/>
        </w:rPr>
        <w:t>базы</w:t>
      </w:r>
      <w:proofErr w:type="gramEnd"/>
      <w:r w:rsidRPr="00520408">
        <w:rPr>
          <w:rFonts w:ascii="Times New Roman" w:hAnsi="Times New Roman" w:cs="Times New Roman"/>
          <w:sz w:val="24"/>
          <w:szCs w:val="24"/>
        </w:rPr>
        <w:t xml:space="preserve"> 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Асекеевском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Таким образом, органы местного самоуправления муниципальных образований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испытывают 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</w:t>
      </w:r>
      <w:r w:rsidRPr="00520408">
        <w:rPr>
          <w:rFonts w:ascii="Times New Roman" w:hAnsi="Times New Roman" w:cs="Times New Roman"/>
          <w:sz w:val="24"/>
          <w:szCs w:val="24"/>
        </w:rPr>
        <w:lastRenderedPageBreak/>
        <w:t>работе с населением.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Для решения перечисленных проблем орган</w:t>
      </w:r>
      <w:r w:rsidR="00A63105" w:rsidRPr="00520408">
        <w:rPr>
          <w:rFonts w:ascii="Times New Roman" w:hAnsi="Times New Roman" w:cs="Times New Roman"/>
          <w:sz w:val="24"/>
          <w:szCs w:val="24"/>
        </w:rPr>
        <w:t>у</w:t>
      </w:r>
      <w:r w:rsidRPr="0052040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Чкаловского сельсовета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Формирование квалифицированного кадрового состава муниципальной службы во многом зависит от качества работы с резервом управленческих кадров, поэтому необходима постоянная методическая помощь в ее совершенствовании, внедрении новых технологий. Также необходимо обеспечение органов местного самоуправления муниципальн</w:t>
      </w:r>
      <w:r w:rsidR="00A63105" w:rsidRPr="00520408">
        <w:rPr>
          <w:rFonts w:ascii="Times New Roman" w:hAnsi="Times New Roman" w:cs="Times New Roman"/>
          <w:sz w:val="24"/>
          <w:szCs w:val="24"/>
        </w:rPr>
        <w:t>ого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63105" w:rsidRPr="00520408">
        <w:rPr>
          <w:rFonts w:ascii="Times New Roman" w:hAnsi="Times New Roman" w:cs="Times New Roman"/>
          <w:sz w:val="24"/>
          <w:szCs w:val="24"/>
        </w:rPr>
        <w:t>я</w:t>
      </w:r>
      <w:r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информационно-методическими материалами по другим вопросам практического применения федерального и регионального законода</w:t>
      </w:r>
      <w:r w:rsidR="00A63105" w:rsidRPr="00520408">
        <w:rPr>
          <w:rFonts w:ascii="Times New Roman" w:hAnsi="Times New Roman" w:cs="Times New Roman"/>
          <w:sz w:val="24"/>
          <w:szCs w:val="24"/>
        </w:rPr>
        <w:t>тельства о муниципальной службе</w:t>
      </w:r>
      <w:r w:rsidRPr="00520408">
        <w:rPr>
          <w:rFonts w:ascii="Times New Roman" w:hAnsi="Times New Roman" w:cs="Times New Roman"/>
          <w:sz w:val="24"/>
          <w:szCs w:val="24"/>
        </w:rPr>
        <w:t>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408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7" w:history="1">
        <w:r w:rsidRPr="0052040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A63105"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Pr="00520408">
        <w:rPr>
          <w:rFonts w:ascii="Times New Roman" w:hAnsi="Times New Roman" w:cs="Times New Roman"/>
          <w:sz w:val="24"/>
          <w:szCs w:val="24"/>
        </w:rPr>
        <w:t>от 2 марта 2007 года №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</w:t>
      </w:r>
      <w:r w:rsidRPr="00520408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согласно </w:t>
      </w:r>
      <w:hyperlink r:id="rId8" w:history="1">
        <w:r w:rsidRPr="00520408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 35</w:t>
        </w:r>
      </w:hyperlink>
      <w:r w:rsidRPr="00520408">
        <w:rPr>
          <w:rFonts w:ascii="Times New Roman" w:hAnsi="Times New Roman" w:cs="Times New Roman"/>
          <w:sz w:val="24"/>
          <w:szCs w:val="24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  <w:proofErr w:type="gramEnd"/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позволит обеспечить системный подход к решению поставленных задач, </w:t>
      </w:r>
      <w:proofErr w:type="gramStart"/>
      <w:r w:rsidR="00DA6883" w:rsidRPr="00520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Последовательная реализация мероприятий Программы приведет к созданию условий для развития муниципальной службы в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Асекеевском</w:t>
      </w:r>
      <w:proofErr w:type="spell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районе Оренбургской области, повышению ее роли и престижа, эффективности и результативности проводимой кадровой политики.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2. Цель и задачи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муниципальной службы в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области, повышения престижа муниципальной службы 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A6883" w:rsidRPr="00520408">
        <w:rPr>
          <w:rFonts w:ascii="Times New Roman" w:hAnsi="Times New Roman" w:cs="Times New Roman"/>
          <w:sz w:val="24"/>
          <w:szCs w:val="24"/>
        </w:rPr>
        <w:t>, а также результативности профессиональной служебной деятельности муниципальных служащих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63105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6883"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A6883"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муниципальной службой;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развитие системы обучения муниципальных служащих как основы их профессионального и должностного роста;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как вида профессиональной деятельности;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создание правовых и организационных механизмов, направленных на повышение результативности профессиональной служебной деят</w:t>
      </w:r>
      <w:r w:rsidR="00A63105" w:rsidRPr="00520408">
        <w:rPr>
          <w:rFonts w:ascii="Times New Roman" w:hAnsi="Times New Roman" w:cs="Times New Roman"/>
          <w:sz w:val="24"/>
          <w:szCs w:val="24"/>
        </w:rPr>
        <w:t>ельности муниципальных служащих.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3. Показатели (индикаторы)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173" w:history="1">
        <w:r w:rsidR="00DA6883" w:rsidRPr="0052040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DA6883" w:rsidRPr="00520408" w:rsidRDefault="00DA6883" w:rsidP="005204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4. Основные мероприятия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386" w:history="1">
        <w:r w:rsidR="00DA6883" w:rsidRPr="0052040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 представлен в приложении №2 к Программе.</w:t>
      </w:r>
    </w:p>
    <w:p w:rsidR="00DA6883" w:rsidRPr="00520408" w:rsidRDefault="00DA6883" w:rsidP="005204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5. Ожидаемые результаты реализации Программы</w:t>
      </w:r>
    </w:p>
    <w:p w:rsidR="00DA6883" w:rsidRPr="00520408" w:rsidRDefault="00520408" w:rsidP="005204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83" w:rsidRPr="00520408"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DA6883" w:rsidRPr="00520408" w:rsidRDefault="00DA6883" w:rsidP="005204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DA6883" w:rsidRPr="00520408" w:rsidRDefault="00DA6883" w:rsidP="005204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04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увеличение числа квалифицированных специалистов на муниципальной службе;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t>6. Ресурсное обеспечение реализации Программы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профессиональному развитию муниципальных служащих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осуществляется в рамках текущих расходов органов местного самоуправления 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A6883" w:rsidRDefault="00DA6883" w:rsidP="00DA6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08" w:rsidRPr="00520408" w:rsidRDefault="00520408" w:rsidP="00DA6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83" w:rsidRPr="00520408" w:rsidRDefault="00DA6883" w:rsidP="00DA688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2040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7. </w:t>
      </w:r>
      <w:proofErr w:type="gramStart"/>
      <w:r w:rsidRPr="0052040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20408">
        <w:rPr>
          <w:rFonts w:ascii="Times New Roman" w:hAnsi="Times New Roman" w:cs="Times New Roman"/>
          <w:b w:val="0"/>
          <w:sz w:val="24"/>
          <w:szCs w:val="24"/>
        </w:rPr>
        <w:t xml:space="preserve"> реализацией Программы</w:t>
      </w:r>
    </w:p>
    <w:p w:rsidR="00DA6883" w:rsidRPr="00520408" w:rsidRDefault="00DA6883" w:rsidP="00DA6883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40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50B8A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>секеевск</w:t>
      </w:r>
      <w:r w:rsidR="00520408" w:rsidRPr="0052040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0408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DA6883" w:rsidRPr="00520408" w:rsidRDefault="00A50B8A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При участии в программе 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каждое полугодие (до 30 июня отчетного года) и по итогам года (до 31декабря отчетного года) (нарастающим итогом) </w:t>
      </w:r>
      <w:r w:rsidRPr="0052040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A6883" w:rsidRPr="00520408">
        <w:rPr>
          <w:rFonts w:ascii="Times New Roman" w:hAnsi="Times New Roman" w:cs="Times New Roman"/>
          <w:sz w:val="24"/>
          <w:szCs w:val="24"/>
        </w:rPr>
        <w:t>представлят</w:t>
      </w:r>
      <w:r w:rsidRPr="00520408">
        <w:rPr>
          <w:rFonts w:ascii="Times New Roman" w:hAnsi="Times New Roman" w:cs="Times New Roman"/>
          <w:sz w:val="24"/>
          <w:szCs w:val="24"/>
        </w:rPr>
        <w:t>ь</w:t>
      </w:r>
      <w:r w:rsidR="00DA6883" w:rsidRPr="00520408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«Асекеевский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31декабря 2024 года.</w:t>
      </w:r>
    </w:p>
    <w:p w:rsidR="00DA6883" w:rsidRPr="00520408" w:rsidRDefault="00DA6883" w:rsidP="00DA68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08">
        <w:rPr>
          <w:rFonts w:ascii="Times New Roman" w:hAnsi="Times New Roman" w:cs="Times New Roman"/>
          <w:sz w:val="24"/>
          <w:szCs w:val="24"/>
        </w:rPr>
        <w:t xml:space="preserve">Ежегодные отчеты о реализации Программы размещаются на официальном сайте администрации муниципального образования </w:t>
      </w:r>
      <w:r w:rsidR="00C96E25">
        <w:rPr>
          <w:rFonts w:ascii="Times New Roman" w:hAnsi="Times New Roman" w:cs="Times New Roman"/>
          <w:sz w:val="24"/>
          <w:szCs w:val="24"/>
        </w:rPr>
        <w:t>Асекеевский</w:t>
      </w:r>
      <w:r w:rsidR="00A50B8A" w:rsidRPr="0052040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520408">
        <w:rPr>
          <w:rFonts w:ascii="Times New Roman" w:hAnsi="Times New Roman" w:cs="Times New Roman"/>
          <w:sz w:val="24"/>
          <w:szCs w:val="24"/>
        </w:rPr>
        <w:t>Асекеевск</w:t>
      </w:r>
      <w:r w:rsidR="00A50B8A" w:rsidRPr="0052040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204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0B8A" w:rsidRPr="00520408">
        <w:rPr>
          <w:rFonts w:ascii="Times New Roman" w:hAnsi="Times New Roman" w:cs="Times New Roman"/>
          <w:sz w:val="24"/>
          <w:szCs w:val="24"/>
        </w:rPr>
        <w:t>а</w:t>
      </w:r>
      <w:r w:rsidRPr="00520408">
        <w:rPr>
          <w:rFonts w:ascii="Times New Roman" w:hAnsi="Times New Roman" w:cs="Times New Roman"/>
          <w:sz w:val="24"/>
          <w:szCs w:val="24"/>
        </w:rPr>
        <w:t xml:space="preserve"> Оренбургской области в информационно-телекоммуникационной сети «Интернет».</w:t>
      </w:r>
    </w:p>
    <w:p w:rsidR="00B8554D" w:rsidRPr="00520408" w:rsidRDefault="00B8554D" w:rsidP="00B8554D">
      <w:pPr>
        <w:rPr>
          <w:rFonts w:ascii="Times New Roman" w:hAnsi="Times New Roman" w:cs="Times New Roman"/>
          <w:sz w:val="24"/>
          <w:szCs w:val="24"/>
        </w:rPr>
      </w:pPr>
    </w:p>
    <w:p w:rsidR="00FD7B06" w:rsidRDefault="00FD7B06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/>
    <w:p w:rsidR="00520408" w:rsidRDefault="00520408" w:rsidP="00FE1C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20408" w:rsidSect="00F01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520408" w:rsidRPr="00FE1CDA" w:rsidTr="00FE1CDA">
        <w:trPr>
          <w:trHeight w:val="1843"/>
        </w:trPr>
        <w:tc>
          <w:tcPr>
            <w:tcW w:w="8897" w:type="dxa"/>
          </w:tcPr>
          <w:p w:rsidR="00520408" w:rsidRPr="00126083" w:rsidRDefault="00520408" w:rsidP="00FE1CD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520408" w:rsidRPr="00FE1CDA" w:rsidRDefault="00520408" w:rsidP="00FE1CDA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20408" w:rsidRPr="00FE1CDA" w:rsidRDefault="00520408" w:rsidP="006D27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развития муниципальной службы в </w:t>
            </w:r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Асекеевско</w:t>
            </w:r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D275F"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на 2020 - 2024 годы</w:t>
            </w:r>
          </w:p>
        </w:tc>
      </w:tr>
    </w:tbl>
    <w:p w:rsidR="00520408" w:rsidRPr="00126083" w:rsidRDefault="00520408" w:rsidP="0052040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73"/>
      <w:bookmarkEnd w:id="1"/>
      <w:r w:rsidRPr="00126083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20408" w:rsidRPr="00126083" w:rsidRDefault="00520408" w:rsidP="0052040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6083">
        <w:rPr>
          <w:rFonts w:ascii="Times New Roman" w:hAnsi="Times New Roman" w:cs="Times New Roman"/>
          <w:b w:val="0"/>
          <w:sz w:val="28"/>
          <w:szCs w:val="28"/>
        </w:rPr>
        <w:t>о показателях (индикаторах) Программы и их значениях</w:t>
      </w:r>
    </w:p>
    <w:p w:rsidR="00520408" w:rsidRDefault="00520408" w:rsidP="00520408">
      <w:pPr>
        <w:pStyle w:val="ConsPlusNormal"/>
        <w:jc w:val="both"/>
      </w:pPr>
    </w:p>
    <w:tbl>
      <w:tblPr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1843"/>
        <w:gridCol w:w="1276"/>
        <w:gridCol w:w="1418"/>
        <w:gridCol w:w="1417"/>
        <w:gridCol w:w="1418"/>
        <w:gridCol w:w="1276"/>
      </w:tblGrid>
      <w:tr w:rsidR="00C96E25" w:rsidRPr="006D30E1" w:rsidTr="00C96E25">
        <w:trPr>
          <w:gridAfter w:val="4"/>
          <w:wAfter w:w="5529" w:type="dxa"/>
          <w:trHeight w:val="276"/>
        </w:trPr>
        <w:tc>
          <w:tcPr>
            <w:tcW w:w="567" w:type="dxa"/>
            <w:vMerge w:val="restart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0" w:type="dxa"/>
            <w:vMerge w:val="restart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96E25" w:rsidRPr="006D30E1" w:rsidTr="00C96E25">
        <w:tc>
          <w:tcPr>
            <w:tcW w:w="567" w:type="dxa"/>
            <w:vMerge/>
          </w:tcPr>
          <w:p w:rsidR="00C96E25" w:rsidRPr="006D30E1" w:rsidRDefault="00C96E25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C96E25" w:rsidRPr="006D30E1" w:rsidRDefault="00C96E25" w:rsidP="00FE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6E25" w:rsidRPr="006D30E1" w:rsidRDefault="00C96E25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6E25" w:rsidRPr="006D30E1" w:rsidRDefault="00C96E25" w:rsidP="00FE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740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муниципальных служащих, получивших дополнительное </w:t>
            </w: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1843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276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0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843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417" w:type="dxa"/>
          </w:tcPr>
          <w:p w:rsidR="00C96E25" w:rsidRPr="00F44798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</w:tcPr>
          <w:p w:rsidR="00C96E25" w:rsidRPr="00F44798" w:rsidRDefault="00C96E25" w:rsidP="006D275F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6E25" w:rsidRPr="00F44798" w:rsidRDefault="00C96E25" w:rsidP="006D275F">
            <w:pPr>
              <w:pStyle w:val="ConsPlusNormal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4479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0812B4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4740" w:type="dxa"/>
          </w:tcPr>
          <w:p w:rsidR="00C96E25" w:rsidRPr="006D30E1" w:rsidRDefault="00C96E25" w:rsidP="006D2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Асекеевский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имеющих стаж муниципальной службы более 3 лет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96E25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E25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E25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6E25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25" w:rsidRPr="006D30E1" w:rsidTr="00C96E25">
        <w:tc>
          <w:tcPr>
            <w:tcW w:w="567" w:type="dxa"/>
          </w:tcPr>
          <w:p w:rsidR="00C96E25" w:rsidRPr="000812B4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основы для </w:t>
            </w:r>
            <w:proofErr w:type="gramStart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всесторонней оценки профессиональной служебной деятельности муниципальных служащих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всесторонней оценки профессиональной служебной деятельности государственных гражданских служащих,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труда и социальной защиты Российской Федерации</w:t>
            </w:r>
            <w:proofErr w:type="gramEnd"/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а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требований для замещения должностей муниципальной службы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наставничества на муниципальной службе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6E25" w:rsidRPr="006D30E1" w:rsidTr="00C96E25">
        <w:tc>
          <w:tcPr>
            <w:tcW w:w="567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4740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испытания на муниципальной службе</w:t>
            </w:r>
          </w:p>
        </w:tc>
        <w:tc>
          <w:tcPr>
            <w:tcW w:w="1843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C96E25" w:rsidRPr="006D30E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E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C96E25" w:rsidRPr="00163EA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96E25" w:rsidRPr="00163EA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96E25" w:rsidRPr="00163EA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6E25" w:rsidRPr="00163EA1" w:rsidRDefault="00C96E25" w:rsidP="00FE1CD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63EA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FE1CDA" w:rsidRPr="00542581" w:rsidTr="00FE1CDA">
        <w:tc>
          <w:tcPr>
            <w:tcW w:w="8897" w:type="dxa"/>
          </w:tcPr>
          <w:p w:rsidR="00FE1CDA" w:rsidRPr="00542581" w:rsidRDefault="00FE1CDA" w:rsidP="00FE1C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E1CDA" w:rsidRPr="00FE1CDA" w:rsidRDefault="00FE1CDA" w:rsidP="00FE1CDA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CDA" w:rsidRPr="00FE1CDA" w:rsidRDefault="00FE1CDA" w:rsidP="00FE1C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развития муниципальной службы в муниципальном образовании </w:t>
            </w:r>
            <w:r w:rsidR="00C96E2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FE1C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2020 - 2024 годы</w:t>
            </w:r>
          </w:p>
        </w:tc>
      </w:tr>
    </w:tbl>
    <w:p w:rsidR="00FE1CDA" w:rsidRPr="008D702A" w:rsidRDefault="00FE1CDA" w:rsidP="00FE1CD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86"/>
      <w:bookmarkEnd w:id="2"/>
      <w:r w:rsidRPr="008D702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E1CDA" w:rsidRPr="008D702A" w:rsidRDefault="00FE1CDA" w:rsidP="00FE1CD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702A">
        <w:rPr>
          <w:rFonts w:ascii="Times New Roman" w:hAnsi="Times New Roman" w:cs="Times New Roman"/>
          <w:b w:val="0"/>
          <w:sz w:val="28"/>
          <w:szCs w:val="28"/>
        </w:rPr>
        <w:t>основных мероприятий Программы</w:t>
      </w:r>
    </w:p>
    <w:p w:rsidR="00FE1CDA" w:rsidRDefault="00FE1CDA" w:rsidP="00FE1CDA">
      <w:pPr>
        <w:pStyle w:val="ConsPlusNormal"/>
        <w:jc w:val="both"/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FE1CDA" w:rsidRPr="00AB0A2A" w:rsidTr="00FE1CDA">
        <w:trPr>
          <w:trHeight w:val="281"/>
          <w:jc w:val="center"/>
        </w:trPr>
        <w:tc>
          <w:tcPr>
            <w:tcW w:w="540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Последствия не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Связь с показателями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E1CDA" w:rsidRPr="00AB0A2A" w:rsidRDefault="00FE1CDA" w:rsidP="00FE1CD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E1CDA" w:rsidRPr="00AB0A2A" w:rsidTr="00FE1CDA">
        <w:trPr>
          <w:trHeight w:val="207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FE1CDA" w:rsidRPr="00AB0A2A" w:rsidTr="00FE1CDA">
        <w:trPr>
          <w:trHeight w:val="318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FE1CDA" w:rsidRPr="00AB0A2A" w:rsidTr="00FE1CDA">
        <w:trPr>
          <w:trHeight w:val="1360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Принятие муниципальных программ развития муниципальной службы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муниципальн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образовани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E03DB4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развитие муниципальной службы</w:t>
            </w:r>
          </w:p>
        </w:tc>
        <w:tc>
          <w:tcPr>
            <w:tcW w:w="2493" w:type="dxa"/>
          </w:tcPr>
          <w:p w:rsidR="00FE1CDA" w:rsidRPr="00AB0A2A" w:rsidRDefault="00E03DB4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программ развития муниципальной службы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и размещение (актуализация)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E03DB4" w:rsidRPr="00AB0A2A" w:rsidRDefault="00FE1CDA" w:rsidP="00E03D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E03DB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развитие правовой грамотности муниципальных служащих; увеличение числа квалифицированных специалистов на муниципальной службе в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Чкаловском сельсовете</w:t>
            </w:r>
          </w:p>
          <w:p w:rsidR="00FE1CDA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Оренбургской области</w:t>
            </w:r>
          </w:p>
        </w:tc>
        <w:tc>
          <w:tcPr>
            <w:tcW w:w="2410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непрофессионализм и некомпетентность муниципальных служащих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49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9499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муниципальной службе</w:t>
            </w:r>
          </w:p>
        </w:tc>
        <w:tc>
          <w:tcPr>
            <w:tcW w:w="2410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непрофессионализм и некомпетентность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 выполнении своих должностных обязанностей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проведение дополнительного профессионального образования муниципальных служащих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участие в обучающих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мероприятиях, в том числе выездных, мероприятиях по обмену опытом, служебных стажировках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повышение уровня профессионального развития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включающее разнообразные формы и методы повышения уровня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их компетентности и профессионализма, обеспечивающих целевое профессиональное развитие кадрового состава и планирование должностного роста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непрофессионализм и некомпетентность муниципальных служащих при выполнении своих должностных обязанностей;</w:t>
            </w:r>
          </w:p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некачественное исполнение должностных обязанностей муниципальными служащими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493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количество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области, получивших дополнительное профессиональное образование; количество муниципальных служащих, принявших участие в обучающих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мероприятиях, мероприятиях по обмену опытом, служебных стажировках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Привлечение молодых квалифицированных специалистов (до 30 лет</w:t>
            </w:r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)н</w:t>
            </w:r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 муниципальную службу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неисполнение нормативных правовых актов Российской Федерации и Оренбургской области, направленных на реализацию кадровой политики на муниципальной службе</w:t>
            </w:r>
          </w:p>
        </w:tc>
        <w:tc>
          <w:tcPr>
            <w:tcW w:w="2493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количество муниципальных служащих в возрасте до 30 лет в общей численности муниципальных служащих </w:t>
            </w:r>
            <w:r w:rsidR="00C9669F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района Оренбургской области, имеющих стаж муниципальной службы более 3 лет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Использование в качестве основы для </w:t>
            </w:r>
            <w:proofErr w:type="gram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 (далее - методика</w:t>
            </w:r>
            <w:proofErr w:type="gram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9669F" w:rsidRPr="00AB0A2A" w:rsidRDefault="00FE1CDA" w:rsidP="00C96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C96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C9669F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="00FE1CDA"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кадровых технологий,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способствующих повышению результативности деятельности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отсутствие единых подходов к оценке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профессиональной деятельности муниципальных служащих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используется в качестве основы для всесторонней оценки профессиональной служебной деятельности муниципальных служащих методика,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Разработка и использование перечня квалификационных требований, необходимых для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замещения должностей муниципальной службы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кадровых технологий, способствующих повышению результативности деятельности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отсутствие единых подходов к установлению квалификационных требований для замещения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разработаны перечни квалификационных требований для замещения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должностей муниципальной службы,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доля сельских поселений, в которых применяется институт наставничества на муниципальной службе, в общем количестве сельских 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 Оренбургской области</w:t>
            </w:r>
          </w:p>
        </w:tc>
      </w:tr>
      <w:tr w:rsidR="00FE1CDA" w:rsidRPr="00AB0A2A" w:rsidTr="00FE1CDA">
        <w:trPr>
          <w:trHeight w:val="142"/>
          <w:jc w:val="center"/>
        </w:trPr>
        <w:tc>
          <w:tcPr>
            <w:tcW w:w="54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Внедрение единой методики прохождения испытания на муниципальной службе при назначении на должность муниципальной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268" w:type="dxa"/>
          </w:tcPr>
          <w:p w:rsidR="00F628D5" w:rsidRPr="00AB0A2A" w:rsidRDefault="00FE1CDA" w:rsidP="00F628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C96E2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Асекеевский</w:t>
            </w:r>
            <w:r w:rsidR="00F628D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сельсовет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Оренбургской области</w:t>
            </w:r>
          </w:p>
        </w:tc>
        <w:tc>
          <w:tcPr>
            <w:tcW w:w="1359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особенностями ее прохождения</w:t>
            </w:r>
          </w:p>
        </w:tc>
        <w:tc>
          <w:tcPr>
            <w:tcW w:w="2410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неисполнение нормативных правовых актов Российской Федерации и Оренбургской области, направленных на развитие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493" w:type="dxa"/>
          </w:tcPr>
          <w:p w:rsidR="00FE1CDA" w:rsidRPr="00AB0A2A" w:rsidRDefault="00FE1CDA" w:rsidP="00FE1C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доля сельских поселений, в которых применяется единая методика прохождения испытания на муниципальной службе, в общем количестве сельских </w:t>
            </w:r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Асекеевского</w:t>
            </w:r>
            <w:proofErr w:type="spellEnd"/>
            <w:r w:rsidRPr="00AB0A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FE1CDA" w:rsidRPr="00327AC8" w:rsidRDefault="00FE1CDA" w:rsidP="00FE1CDA">
      <w:pPr>
        <w:spacing w:before="240"/>
        <w:ind w:right="-314" w:firstLine="709"/>
        <w:rPr>
          <w:rFonts w:ascii="Times New Roman" w:hAnsi="Times New Roman" w:cs="Times New Roman"/>
        </w:rPr>
        <w:sectPr w:rsidR="00FE1CDA" w:rsidRPr="00327AC8" w:rsidSect="00FE1CDA">
          <w:pgSz w:w="16838" w:h="11905" w:orient="landscape"/>
          <w:pgMar w:top="1701" w:right="1134" w:bottom="1134" w:left="1134" w:header="0" w:footer="0" w:gutter="0"/>
          <w:cols w:space="720"/>
        </w:sectPr>
      </w:pPr>
      <w:r w:rsidRPr="00327AC8">
        <w:rPr>
          <w:rFonts w:ascii="Times New Roman" w:hAnsi="Times New Roman" w:cs="Times New Roman"/>
        </w:rPr>
        <w:lastRenderedPageBreak/>
        <w:t xml:space="preserve">Примечание.   Привлечение   в   качестве </w:t>
      </w:r>
      <w:proofErr w:type="gramStart"/>
      <w:r w:rsidRPr="00327AC8">
        <w:rPr>
          <w:rFonts w:ascii="Times New Roman" w:hAnsi="Times New Roman" w:cs="Times New Roman"/>
        </w:rPr>
        <w:t>участников   основных   мероприятий   Программы   органов   местного   самоуправления сельских  поселений</w:t>
      </w:r>
      <w:proofErr w:type="gramEnd"/>
      <w:r w:rsidRPr="00327AC8">
        <w:rPr>
          <w:rFonts w:ascii="Times New Roman" w:hAnsi="Times New Roman" w:cs="Times New Roman"/>
        </w:rPr>
        <w:t xml:space="preserve"> осуществляется  по  согласованию.</w:t>
      </w:r>
    </w:p>
    <w:p w:rsidR="00FE1CDA" w:rsidRDefault="00FE1CDA" w:rsidP="00FE1CDA">
      <w:pPr>
        <w:pStyle w:val="ConsPlusNormal"/>
        <w:jc w:val="both"/>
      </w:pPr>
    </w:p>
    <w:p w:rsidR="00520408" w:rsidRDefault="00520408"/>
    <w:sectPr w:rsidR="00520408" w:rsidSect="005204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D"/>
    <w:rsid w:val="0004020B"/>
    <w:rsid w:val="000F1769"/>
    <w:rsid w:val="001162E4"/>
    <w:rsid w:val="001441E8"/>
    <w:rsid w:val="0017363A"/>
    <w:rsid w:val="001D3FE9"/>
    <w:rsid w:val="002F781E"/>
    <w:rsid w:val="003655D9"/>
    <w:rsid w:val="005073A0"/>
    <w:rsid w:val="00520408"/>
    <w:rsid w:val="0057735B"/>
    <w:rsid w:val="006D275F"/>
    <w:rsid w:val="006E2814"/>
    <w:rsid w:val="007000F5"/>
    <w:rsid w:val="00730165"/>
    <w:rsid w:val="00753DB1"/>
    <w:rsid w:val="007965FF"/>
    <w:rsid w:val="007A72FC"/>
    <w:rsid w:val="00813C1A"/>
    <w:rsid w:val="008944D0"/>
    <w:rsid w:val="008F3C40"/>
    <w:rsid w:val="009968FB"/>
    <w:rsid w:val="009F676B"/>
    <w:rsid w:val="00A50B8A"/>
    <w:rsid w:val="00A63105"/>
    <w:rsid w:val="00A85844"/>
    <w:rsid w:val="00A85FA0"/>
    <w:rsid w:val="00B102D6"/>
    <w:rsid w:val="00B32E3F"/>
    <w:rsid w:val="00B8554D"/>
    <w:rsid w:val="00BA5418"/>
    <w:rsid w:val="00C240EA"/>
    <w:rsid w:val="00C95906"/>
    <w:rsid w:val="00C9669F"/>
    <w:rsid w:val="00C96E25"/>
    <w:rsid w:val="00CC0EE8"/>
    <w:rsid w:val="00CE5936"/>
    <w:rsid w:val="00CE635C"/>
    <w:rsid w:val="00D163C2"/>
    <w:rsid w:val="00D500EC"/>
    <w:rsid w:val="00D90386"/>
    <w:rsid w:val="00DA6883"/>
    <w:rsid w:val="00DB0AD1"/>
    <w:rsid w:val="00E03DB4"/>
    <w:rsid w:val="00E10FBF"/>
    <w:rsid w:val="00ED4CCF"/>
    <w:rsid w:val="00F01BF8"/>
    <w:rsid w:val="00F628D5"/>
    <w:rsid w:val="00FD7B06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0E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00EC"/>
    <w:rPr>
      <w:color w:val="0000FF" w:themeColor="hyperlink"/>
      <w:u w:val="single"/>
    </w:rPr>
  </w:style>
  <w:style w:type="paragraph" w:customStyle="1" w:styleId="ConsPlusTitle">
    <w:name w:val="ConsPlusTitle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5204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0E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00EC"/>
    <w:rPr>
      <w:color w:val="0000FF" w:themeColor="hyperlink"/>
      <w:u w:val="single"/>
    </w:rPr>
  </w:style>
  <w:style w:type="paragraph" w:customStyle="1" w:styleId="ConsPlusTitle">
    <w:name w:val="ConsPlusTitle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24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5204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14F295302E4C822BBBC50DBB6A347F225079AE13F144F691FFF89271F25F7FB6B8093FE96B31C0E2C752F98426T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5FCC-78F2-4A43-AC92-1761BECD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2021-02-02T07:42:00Z</cp:lastPrinted>
  <dcterms:created xsi:type="dcterms:W3CDTF">2021-02-02T07:44:00Z</dcterms:created>
  <dcterms:modified xsi:type="dcterms:W3CDTF">2021-02-02T07:44:00Z</dcterms:modified>
</cp:coreProperties>
</file>