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c"/>
        <w:tblW w:w="9356" w:type="dxa"/>
        <w:tblLayout w:type="fixed"/>
        <w:tblLook w:val="0000" w:firstRow="0" w:lastRow="0" w:firstColumn="0" w:lastColumn="0" w:noHBand="0" w:noVBand="0"/>
      </w:tblPr>
      <w:tblGrid>
        <w:gridCol w:w="3936"/>
        <w:gridCol w:w="759"/>
        <w:gridCol w:w="4661"/>
      </w:tblGrid>
      <w:tr w:rsidR="00F97845">
        <w:trPr>
          <w:trHeight w:val="96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E9352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23875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jc w:val="center"/>
              <w:rPr>
                <w:b/>
                <w:bCs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E93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Главам сельсоветов</w:t>
            </w:r>
          </w:p>
        </w:tc>
      </w:tr>
      <w:tr w:rsidR="00F97845">
        <w:trPr>
          <w:trHeight w:val="283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F97845" w:rsidRDefault="00F97845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F97845" w:rsidRDefault="00E9352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Администрация</w:t>
            </w:r>
          </w:p>
          <w:p w:rsidR="00F97845" w:rsidRDefault="00E9352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Асекеевского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района</w:t>
            </w:r>
          </w:p>
          <w:p w:rsidR="00F97845" w:rsidRDefault="00E93520">
            <w:pPr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26"/>
                <w:szCs w:val="26"/>
              </w:rPr>
              <w:t>Оренбургской области</w:t>
            </w:r>
          </w:p>
          <w:p w:rsidR="00F97845" w:rsidRDefault="00F97845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F97845" w:rsidRDefault="00E9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Чапаева ул., д. </w:t>
            </w:r>
            <w:proofErr w:type="gramStart"/>
            <w:r>
              <w:rPr>
                <w:color w:val="000000"/>
                <w:sz w:val="18"/>
                <w:szCs w:val="18"/>
              </w:rPr>
              <w:t>28,  с.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Асекеево,</w:t>
            </w:r>
          </w:p>
          <w:p w:rsidR="00F97845" w:rsidRDefault="00E9352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Асекеевский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</w:t>
            </w:r>
          </w:p>
          <w:p w:rsidR="00F97845" w:rsidRDefault="00E9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Оренбургская </w:t>
            </w:r>
            <w:proofErr w:type="gramStart"/>
            <w:r>
              <w:rPr>
                <w:color w:val="000000"/>
                <w:sz w:val="18"/>
                <w:szCs w:val="18"/>
              </w:rPr>
              <w:t>область,  461710</w:t>
            </w:r>
            <w:proofErr w:type="gramEnd"/>
          </w:p>
          <w:p w:rsidR="00F97845" w:rsidRDefault="00E9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телефон (35351) 2-03-75; 2-00-83</w:t>
            </w:r>
          </w:p>
          <w:p w:rsidR="00F97845" w:rsidRDefault="00E9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телефакс (35351) 2-03-76</w:t>
            </w:r>
          </w:p>
          <w:p w:rsidR="00F97845" w:rsidRDefault="00E9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http://mo-as.orb.ru</w:t>
            </w:r>
          </w:p>
          <w:p w:rsidR="00F97845" w:rsidRDefault="00E9352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e-mail:as@mail.orb.ru</w:t>
            </w:r>
            <w:proofErr w:type="spellEnd"/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jc w:val="center"/>
              <w:rPr>
                <w:bCs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rPr>
                <w:i/>
              </w:rPr>
            </w:pPr>
          </w:p>
        </w:tc>
      </w:tr>
      <w:tr w:rsidR="00F9784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ind w:right="-70"/>
            </w:pPr>
            <w:bookmarkStart w:id="1" w:name="__UnoMark__419_3298711864"/>
            <w:bookmarkEnd w:id="1"/>
          </w:p>
          <w:p w:rsidR="00F97845" w:rsidRDefault="00E93520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F97845" w:rsidRDefault="00F97845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rPr>
                <w:sz w:val="22"/>
              </w:rPr>
            </w:pPr>
          </w:p>
        </w:tc>
      </w:tr>
      <w:tr w:rsidR="00F97845">
        <w:trPr>
          <w:trHeight w:val="68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E93520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№</w:t>
            </w:r>
          </w:p>
          <w:p w:rsidR="00F97845" w:rsidRDefault="00F97845">
            <w:pPr>
              <w:ind w:firstLine="708"/>
              <w:rPr>
                <w:sz w:val="28"/>
                <w:szCs w:val="28"/>
              </w:rPr>
            </w:pPr>
          </w:p>
          <w:p w:rsidR="00F97845" w:rsidRDefault="00F97845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F9784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97845" w:rsidRDefault="00E93520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обеспечения </w:t>
      </w:r>
    </w:p>
    <w:p w:rsidR="00F97845" w:rsidRDefault="00E93520">
      <w:pPr>
        <w:rPr>
          <w:sz w:val="28"/>
          <w:szCs w:val="28"/>
        </w:rPr>
      </w:pPr>
      <w:r>
        <w:rPr>
          <w:sz w:val="28"/>
          <w:szCs w:val="28"/>
        </w:rPr>
        <w:t>безопасности людей на водных объектах</w:t>
      </w:r>
    </w:p>
    <w:p w:rsidR="00F97845" w:rsidRDefault="00F97845">
      <w:pPr>
        <w:jc w:val="center"/>
        <w:rPr>
          <w:sz w:val="28"/>
          <w:szCs w:val="28"/>
        </w:rPr>
      </w:pPr>
    </w:p>
    <w:p w:rsidR="00F97845" w:rsidRDefault="00E9352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F97845" w:rsidRDefault="00F97845">
      <w:pPr>
        <w:jc w:val="center"/>
        <w:rPr>
          <w:sz w:val="28"/>
          <w:szCs w:val="28"/>
        </w:rPr>
      </w:pPr>
    </w:p>
    <w:p w:rsidR="00F97845" w:rsidRDefault="00E93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людей на водных объектах муниципального образования «</w:t>
      </w:r>
      <w:proofErr w:type="spellStart"/>
      <w:r>
        <w:rPr>
          <w:sz w:val="28"/>
          <w:szCs w:val="28"/>
        </w:rPr>
        <w:t>Асекеевский</w:t>
      </w:r>
      <w:proofErr w:type="spellEnd"/>
      <w:r>
        <w:rPr>
          <w:sz w:val="28"/>
          <w:szCs w:val="28"/>
        </w:rPr>
        <w:t xml:space="preserve"> район» с 19 по 21 января </w:t>
      </w:r>
      <w:r>
        <w:rPr>
          <w:sz w:val="28"/>
          <w:szCs w:val="28"/>
        </w:rPr>
        <w:t>2026 года, в период празднования религиозного праздника «Крещения Господне», прошу разместить следующую информацию на официальных сайтах, в мессенджерах и т.д.:</w:t>
      </w:r>
    </w:p>
    <w:p w:rsidR="00F97845" w:rsidRDefault="00E93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«Администрация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информирует, что купания с установкой купели-иордани на территории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проводиться не будут. Данное решение принято отдельно каждой администрацией сельского поселения. </w:t>
      </w:r>
      <w:proofErr w:type="gramStart"/>
      <w:r>
        <w:rPr>
          <w:sz w:val="28"/>
          <w:szCs w:val="28"/>
        </w:rPr>
        <w:t>Основной  причиной</w:t>
      </w:r>
      <w:proofErr w:type="gramEnd"/>
      <w:r>
        <w:rPr>
          <w:sz w:val="28"/>
          <w:szCs w:val="28"/>
        </w:rPr>
        <w:t xml:space="preserve"> такого решения  яв</w:t>
      </w:r>
      <w:r>
        <w:rPr>
          <w:sz w:val="28"/>
          <w:szCs w:val="28"/>
        </w:rPr>
        <w:t xml:space="preserve">ляется  несоответствие равномерной толщины льда  нормативам для массового выхода людей на лед.  </w:t>
      </w:r>
    </w:p>
    <w:p w:rsidR="00F97845" w:rsidRDefault="00E93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Напоминаем, что при самовольной организации купели на водоеме, данное деяние может не только привести к печальным последствиям, но и к привлечению к администра</w:t>
      </w:r>
      <w:r>
        <w:rPr>
          <w:sz w:val="28"/>
          <w:szCs w:val="28"/>
        </w:rPr>
        <w:t>тивной ответственности граждан за нарушение правил охраны жизни людей на водных объектах, расположенных на территории Оренбургской области в соответствии со статьей 7.8 Закона Оренбургской области от 1 октября 2003 года № 489/55-Ш-ОЗ «Об административных п</w:t>
      </w:r>
      <w:r>
        <w:rPr>
          <w:sz w:val="28"/>
          <w:szCs w:val="28"/>
        </w:rPr>
        <w:t>равонарушениях в Оренбургской области».</w:t>
      </w:r>
    </w:p>
    <w:p w:rsidR="00F97845" w:rsidRDefault="00E93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обезопасить себя на Крещение?</w:t>
      </w:r>
    </w:p>
    <w:p w:rsidR="00F97845" w:rsidRDefault="00E93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1.Не пить воду из водоемов для купания.</w:t>
      </w:r>
    </w:p>
    <w:p w:rsidR="00F97845" w:rsidRDefault="00E93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Освященную воду для питья следует набирать из систем водоснабжения и (или) из емкостей в религиозных помещениях только в чистую посуду, пре</w:t>
      </w:r>
      <w:r>
        <w:rPr>
          <w:sz w:val="28"/>
          <w:szCs w:val="28"/>
        </w:rPr>
        <w:t>дназначенную для использования в пищевых целях.»</w:t>
      </w:r>
    </w:p>
    <w:p w:rsidR="00F97845" w:rsidRDefault="00E93520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Напоминаю об исполнении п. 5.1 решения КЧС и ОПБ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от 17.10.2025 № </w:t>
      </w:r>
      <w:proofErr w:type="gramStart"/>
      <w:r>
        <w:rPr>
          <w:sz w:val="28"/>
          <w:szCs w:val="28"/>
        </w:rPr>
        <w:t>17  «</w:t>
      </w:r>
      <w:proofErr w:type="gramEnd"/>
      <w:r>
        <w:rPr>
          <w:sz w:val="27"/>
          <w:szCs w:val="27"/>
        </w:rPr>
        <w:t xml:space="preserve">О мерах по обеспечению безопасности населения </w:t>
      </w:r>
    </w:p>
    <w:p w:rsidR="00F97845" w:rsidRDefault="00E93520">
      <w:pPr>
        <w:jc w:val="both"/>
        <w:rPr>
          <w:sz w:val="28"/>
          <w:szCs w:val="28"/>
        </w:rPr>
      </w:pPr>
      <w:r>
        <w:rPr>
          <w:sz w:val="27"/>
          <w:szCs w:val="27"/>
        </w:rPr>
        <w:lastRenderedPageBreak/>
        <w:t>в осенне-зимний период 2025/2026 года</w:t>
      </w:r>
      <w:r>
        <w:rPr>
          <w:sz w:val="28"/>
          <w:szCs w:val="28"/>
        </w:rPr>
        <w:t xml:space="preserve">». </w:t>
      </w:r>
    </w:p>
    <w:p w:rsidR="00F97845" w:rsidRDefault="00E93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целях недопущения несанкц</w:t>
      </w:r>
      <w:r>
        <w:rPr>
          <w:sz w:val="28"/>
          <w:szCs w:val="28"/>
        </w:rPr>
        <w:t>ионированных купелей,  прошу Вас активизировать работу административных комиссий муниципальных образований по привлечению к административной ответственности граждан за нарушение правил охраны жизни людей на водных объектах, расположенных на территории Орен</w:t>
      </w:r>
      <w:r>
        <w:rPr>
          <w:sz w:val="28"/>
          <w:szCs w:val="28"/>
        </w:rPr>
        <w:t>бургской области в соответствии со статьей 7.8 Закона Оренбургской области от 1 октября 2003 года № 489/55-Ш-ОЗ «Об административных правонарушениях в Оренбургской области» (Выезд на лед водных объектов, расположенных на территории Оренбургской области, тр</w:t>
      </w:r>
      <w:r>
        <w:rPr>
          <w:sz w:val="28"/>
          <w:szCs w:val="28"/>
        </w:rPr>
        <w:t xml:space="preserve">анспортных средств вне ледовых переправ, а также выход и выезд на лед в местах, где выставлены запрещающие знаки, - влекут наложение административного штрафа на граждан в размере от одной тысячи до двух тысяч рублей). Дополнительно </w:t>
      </w:r>
      <w:proofErr w:type="gramStart"/>
      <w:r>
        <w:rPr>
          <w:sz w:val="28"/>
          <w:szCs w:val="28"/>
        </w:rPr>
        <w:t>направляю,  для</w:t>
      </w:r>
      <w:proofErr w:type="gramEnd"/>
      <w:r>
        <w:rPr>
          <w:sz w:val="28"/>
          <w:szCs w:val="28"/>
        </w:rPr>
        <w:t xml:space="preserve"> использо</w:t>
      </w:r>
      <w:r>
        <w:rPr>
          <w:sz w:val="28"/>
          <w:szCs w:val="28"/>
        </w:rPr>
        <w:t>вания в работе, методические рекомендации Главного управления МЧС России по Оренбургской области для административных комиссий муниципальных образований по привлечению виновных лиц к административной ответственности с разъяснением о порядке рассмотрения де</w:t>
      </w:r>
      <w:r>
        <w:rPr>
          <w:sz w:val="28"/>
          <w:szCs w:val="28"/>
        </w:rPr>
        <w:t xml:space="preserve">л о правонарушениях, предусмотренных статьями 7.8  Закона Оренбургской области «Об административных правонарушениях в Оренбургской области». </w:t>
      </w:r>
    </w:p>
    <w:p w:rsidR="00F97845" w:rsidRDefault="00F97845">
      <w:pPr>
        <w:jc w:val="both"/>
        <w:rPr>
          <w:sz w:val="28"/>
          <w:szCs w:val="28"/>
        </w:rPr>
      </w:pPr>
    </w:p>
    <w:p w:rsidR="00F97845" w:rsidRDefault="00E93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1. МЕТОДИЧКА-7.8-2021 - в формате </w:t>
      </w:r>
      <w:proofErr w:type="spellStart"/>
      <w:r>
        <w:rPr>
          <w:sz w:val="28"/>
          <w:szCs w:val="28"/>
        </w:rPr>
        <w:t>WinRAR</w:t>
      </w:r>
      <w:proofErr w:type="spellEnd"/>
      <w:r>
        <w:rPr>
          <w:sz w:val="28"/>
          <w:szCs w:val="28"/>
        </w:rPr>
        <w:t xml:space="preserve"> -230 КБ.</w:t>
      </w:r>
    </w:p>
    <w:p w:rsidR="00F97845" w:rsidRDefault="00F97845">
      <w:pPr>
        <w:pStyle w:val="afa"/>
        <w:ind w:left="1069"/>
        <w:jc w:val="both"/>
        <w:rPr>
          <w:sz w:val="28"/>
          <w:szCs w:val="28"/>
        </w:rPr>
      </w:pPr>
    </w:p>
    <w:tbl>
      <w:tblPr>
        <w:tblStyle w:val="afc"/>
        <w:tblW w:w="9356" w:type="dxa"/>
        <w:tblLayout w:type="fixed"/>
        <w:tblLook w:val="04A0" w:firstRow="1" w:lastRow="0" w:firstColumn="1" w:lastColumn="0" w:noHBand="0" w:noVBand="1"/>
      </w:tblPr>
      <w:tblGrid>
        <w:gridCol w:w="3510"/>
        <w:gridCol w:w="3204"/>
        <w:gridCol w:w="2642"/>
      </w:tblGrid>
      <w:tr w:rsidR="00F97845">
        <w:trPr>
          <w:trHeight w:val="12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E93520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845" w:rsidRDefault="00F97845">
            <w:pPr>
              <w:spacing w:line="360" w:lineRule="auto"/>
              <w:ind w:firstLine="709"/>
              <w:jc w:val="both"/>
            </w:pPr>
            <w:bookmarkStart w:id="2" w:name="__UnoMark__417_3298711864"/>
            <w:bookmarkEnd w:id="2"/>
          </w:p>
          <w:p w:rsidR="00F97845" w:rsidRDefault="00F97845">
            <w:pPr>
              <w:spacing w:line="360" w:lineRule="auto"/>
              <w:ind w:firstLine="709"/>
              <w:jc w:val="both"/>
            </w:pPr>
          </w:p>
          <w:p w:rsidR="00F97845" w:rsidRDefault="00F97845">
            <w:pPr>
              <w:spacing w:line="360" w:lineRule="auto"/>
              <w:ind w:firstLine="709"/>
              <w:jc w:val="both"/>
            </w:pPr>
          </w:p>
          <w:p w:rsidR="00F97845" w:rsidRDefault="00E93520">
            <w:pPr>
              <w:spacing w:line="360" w:lineRule="auto"/>
              <w:jc w:val="both"/>
            </w:pPr>
            <w: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877185" cy="1080135"/>
                  <wp:effectExtent l="0" t="0" r="0" b="0"/>
                  <wp:wrapNone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845" w:rsidRDefault="00E9352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С.Г. </w:t>
            </w:r>
            <w:proofErr w:type="spellStart"/>
            <w:r>
              <w:rPr>
                <w:sz w:val="28"/>
                <w:szCs w:val="28"/>
              </w:rPr>
              <w:t>Гатауллин</w:t>
            </w:r>
            <w:proofErr w:type="spellEnd"/>
          </w:p>
        </w:tc>
      </w:tr>
    </w:tbl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p w:rsidR="00F97845" w:rsidRDefault="00F97845">
      <w:pPr>
        <w:textAlignment w:val="auto"/>
        <w:rPr>
          <w:sz w:val="24"/>
          <w:szCs w:val="24"/>
        </w:rPr>
      </w:pPr>
    </w:p>
    <w:sectPr w:rsidR="00F97845">
      <w:footerReference w:type="default" r:id="rId10"/>
      <w:footerReference w:type="first" r:id="rId11"/>
      <w:pgSz w:w="11906" w:h="16838"/>
      <w:pgMar w:top="1134" w:right="851" w:bottom="192" w:left="1701" w:header="0" w:footer="135" w:gutter="0"/>
      <w:cols w:space="720"/>
      <w:formProt w:val="0"/>
      <w:titlePg/>
      <w:docGrid w:linePitch="312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20" w:rsidRDefault="00E93520">
      <w:r>
        <w:separator/>
      </w:r>
    </w:p>
  </w:endnote>
  <w:endnote w:type="continuationSeparator" w:id="0">
    <w:p w:rsidR="00E93520" w:rsidRDefault="00E9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-Bold">
    <w:altName w:val="Times New Roman"/>
    <w:charset w:val="01"/>
    <w:family w:val="roman"/>
    <w:pitch w:val="variable"/>
  </w:font>
  <w:font w:name="HelveticaNeue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45" w:rsidRDefault="00E93520">
    <w:pPr>
      <w:pStyle w:val="af6"/>
      <w:rPr>
        <w:sz w:val="18"/>
      </w:rPr>
    </w:pPr>
    <w:r>
      <w:rPr>
        <w:sz w:val="18"/>
      </w:rPr>
      <w:t xml:space="preserve">Исп.: </w:t>
    </w:r>
    <w:proofErr w:type="spellStart"/>
    <w:r>
      <w:rPr>
        <w:sz w:val="18"/>
      </w:rPr>
      <w:t>Хуснутдинов</w:t>
    </w:r>
    <w:proofErr w:type="spellEnd"/>
    <w:r>
      <w:rPr>
        <w:sz w:val="18"/>
      </w:rPr>
      <w:t xml:space="preserve"> Э.Т.   </w:t>
    </w:r>
  </w:p>
  <w:p w:rsidR="00F97845" w:rsidRDefault="00E93520">
    <w:pPr>
      <w:pStyle w:val="af6"/>
      <w:rPr>
        <w:sz w:val="18"/>
      </w:rPr>
    </w:pPr>
    <w:r>
      <w:rPr>
        <w:sz w:val="18"/>
      </w:rPr>
      <w:t xml:space="preserve">+7 (35351) 21350 </w:t>
    </w:r>
  </w:p>
  <w:p w:rsidR="00F97845" w:rsidRDefault="00F97845">
    <w:pPr>
      <w:pStyle w:val="af6"/>
    </w:pPr>
  </w:p>
  <w:p w:rsidR="00F97845" w:rsidRDefault="00F97845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45" w:rsidRDefault="00E93520">
    <w:pPr>
      <w:pStyle w:val="af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20" w:rsidRDefault="00E93520">
      <w:r>
        <w:separator/>
      </w:r>
    </w:p>
  </w:footnote>
  <w:footnote w:type="continuationSeparator" w:id="0">
    <w:p w:rsidR="00E93520" w:rsidRDefault="00E93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45"/>
    <w:rsid w:val="00547AAA"/>
    <w:rsid w:val="00E93520"/>
    <w:rsid w:val="00F9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56FEF-DAC9-4700-AE86-6B2A1614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01"/>
    <w:pPr>
      <w:textAlignment w:val="baseline"/>
    </w:pPr>
    <w:rPr>
      <w:szCs w:val="20"/>
    </w:rPr>
  </w:style>
  <w:style w:type="paragraph" w:styleId="1">
    <w:name w:val="heading 1"/>
    <w:basedOn w:val="a"/>
    <w:uiPriority w:val="99"/>
    <w:qFormat/>
    <w:pPr>
      <w:keepNext/>
      <w:ind w:left="72" w:firstLine="2268"/>
      <w:outlineLvl w:val="0"/>
    </w:pPr>
    <w:rPr>
      <w:sz w:val="24"/>
      <w:szCs w:val="24"/>
    </w:rPr>
  </w:style>
  <w:style w:type="paragraph" w:styleId="2">
    <w:name w:val="heading 2"/>
    <w:basedOn w:val="a"/>
    <w:uiPriority w:val="99"/>
    <w:qFormat/>
    <w:pPr>
      <w:keepNext/>
      <w:ind w:left="72"/>
      <w:outlineLvl w:val="1"/>
    </w:pPr>
    <w:rPr>
      <w:sz w:val="28"/>
      <w:szCs w:val="28"/>
    </w:rPr>
  </w:style>
  <w:style w:type="paragraph" w:styleId="3">
    <w:name w:val="heading 3"/>
    <w:basedOn w:val="a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uiPriority w:val="99"/>
    <w:qFormat/>
    <w:pPr>
      <w:keepNext/>
      <w:jc w:val="center"/>
      <w:outlineLvl w:val="3"/>
    </w:pPr>
    <w:rPr>
      <w:b/>
      <w:bCs/>
      <w:sz w:val="26"/>
      <w:szCs w:val="26"/>
    </w:rPr>
  </w:style>
  <w:style w:type="paragraph" w:styleId="6">
    <w:name w:val="heading 6"/>
    <w:basedOn w:val="a"/>
    <w:uiPriority w:val="99"/>
    <w:qFormat/>
    <w:pPr>
      <w:keepNext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uiPriority w:val="99"/>
    <w:semiHidden/>
    <w:qFormat/>
    <w:locked/>
    <w:rPr>
      <w:rFonts w:ascii="Calibri" w:hAnsi="Calibri" w:cs="Calibri"/>
      <w:b/>
      <w:bCs/>
    </w:rPr>
  </w:style>
  <w:style w:type="character" w:customStyle="1" w:styleId="a3">
    <w:name w:val="Верхний колонтитул Знак"/>
    <w:basedOn w:val="a0"/>
    <w:uiPriority w:val="99"/>
    <w:qFormat/>
    <w:locked/>
    <w:rPr>
      <w:rFonts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locked/>
    <w:rsid w:val="008D76EE"/>
    <w:rPr>
      <w:rFonts w:cs="Times New Roman"/>
      <w:lang w:val="ru-RU" w:eastAsia="ru-RU"/>
    </w:rPr>
  </w:style>
  <w:style w:type="character" w:customStyle="1" w:styleId="a5">
    <w:name w:val="Основной текст Знак"/>
    <w:basedOn w:val="a0"/>
    <w:uiPriority w:val="99"/>
    <w:semiHidden/>
    <w:qFormat/>
    <w:locked/>
    <w:rPr>
      <w:rFonts w:cs="Times New Roman"/>
      <w:sz w:val="20"/>
      <w:szCs w:val="20"/>
    </w:rPr>
  </w:style>
  <w:style w:type="character" w:styleId="a6">
    <w:name w:val="Hyperlink"/>
    <w:basedOn w:val="a0"/>
    <w:uiPriority w:val="99"/>
    <w:rsid w:val="0090068E"/>
    <w:rPr>
      <w:rFonts w:cs="Times New Roman"/>
      <w:color w:val="0000FF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locked/>
    <w:rsid w:val="000617A5"/>
    <w:rPr>
      <w:rFonts w:cs="Times New Roman"/>
      <w:i/>
    </w:rPr>
  </w:style>
  <w:style w:type="character" w:customStyle="1" w:styleId="h3">
    <w:name w:val="h3"/>
    <w:qFormat/>
    <w:rsid w:val="000617A5"/>
  </w:style>
  <w:style w:type="character" w:styleId="a9">
    <w:name w:val="annotation reference"/>
    <w:basedOn w:val="a0"/>
    <w:uiPriority w:val="99"/>
    <w:semiHidden/>
    <w:unhideWhenUsed/>
    <w:qFormat/>
    <w:rsid w:val="009975AF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9975AF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9975AF"/>
    <w:rPr>
      <w:b/>
      <w:bCs/>
      <w:sz w:val="20"/>
      <w:szCs w:val="20"/>
    </w:rPr>
  </w:style>
  <w:style w:type="character" w:customStyle="1" w:styleId="fontstyle01">
    <w:name w:val="fontstyle01"/>
    <w:basedOn w:val="a0"/>
    <w:qFormat/>
    <w:rsid w:val="00492895"/>
    <w:rPr>
      <w:rFonts w:ascii="HelveticaNeue-Bold" w:hAnsi="HelveticaNeue-Bold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qFormat/>
    <w:rsid w:val="00492895"/>
    <w:rPr>
      <w:rFonts w:ascii="HelveticaNeue" w:hAnsi="HelveticaNeue"/>
      <w:b w:val="0"/>
      <w:bCs w:val="0"/>
      <w:i w:val="0"/>
      <w:iCs w:val="0"/>
      <w:color w:val="000000"/>
      <w:sz w:val="32"/>
      <w:szCs w:val="32"/>
    </w:rPr>
  </w:style>
  <w:style w:type="character" w:customStyle="1" w:styleId="ac">
    <w:name w:val="Заголовок Знак"/>
    <w:basedOn w:val="a0"/>
    <w:uiPriority w:val="1"/>
    <w:qFormat/>
    <w:rsid w:val="002F4886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ad">
    <w:name w:val="Основной текст с отступом Знак"/>
    <w:basedOn w:val="a0"/>
    <w:link w:val="ae"/>
    <w:qFormat/>
    <w:rsid w:val="000757CC"/>
    <w:rPr>
      <w:sz w:val="24"/>
      <w:szCs w:val="24"/>
    </w:rPr>
  </w:style>
  <w:style w:type="character" w:customStyle="1" w:styleId="af">
    <w:name w:val="Обычный (веб) Знак"/>
    <w:link w:val="af0"/>
    <w:uiPriority w:val="99"/>
    <w:qFormat/>
    <w:locked/>
    <w:rsid w:val="00C95576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156F50"/>
    <w:rPr>
      <w:sz w:val="16"/>
      <w:szCs w:val="16"/>
    </w:rPr>
  </w:style>
  <w:style w:type="character" w:customStyle="1" w:styleId="af1">
    <w:name w:val="Основной текст_"/>
    <w:basedOn w:val="a0"/>
    <w:qFormat/>
    <w:rsid w:val="00B30FCC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u w:val="none"/>
      <w:effect w:val="none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2">
    <w:name w:val="Body Text"/>
    <w:basedOn w:val="a"/>
    <w:uiPriority w:val="99"/>
    <w:rPr>
      <w:sz w:val="28"/>
      <w:szCs w:val="28"/>
    </w:rPr>
  </w:style>
  <w:style w:type="paragraph" w:styleId="af3">
    <w:name w:val="List"/>
    <w:basedOn w:val="af2"/>
    <w:rPr>
      <w:rFonts w:cs="Nirmala U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HeaderandFooter">
    <w:name w:val="Header and Footer"/>
    <w:basedOn w:val="a"/>
    <w:qFormat/>
  </w:style>
  <w:style w:type="paragraph" w:styleId="af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6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uiPriority w:val="99"/>
    <w:qFormat/>
    <w:rsid w:val="005270E2"/>
    <w:rPr>
      <w:rFonts w:ascii="Courier New" w:hAnsi="Courier New" w:cs="Courier New"/>
      <w:szCs w:val="20"/>
    </w:rPr>
  </w:style>
  <w:style w:type="paragraph" w:customStyle="1" w:styleId="CharChar">
    <w:name w:val="Знак Char Char Знак Знак Знак Знак"/>
    <w:basedOn w:val="a"/>
    <w:uiPriority w:val="99"/>
    <w:qFormat/>
    <w:rsid w:val="009B5222"/>
    <w:pPr>
      <w:spacing w:beforeAutospacing="1" w:afterAutospacing="1"/>
      <w:jc w:val="both"/>
      <w:textAlignment w:val="auto"/>
    </w:pPr>
    <w:rPr>
      <w:rFonts w:ascii="Tahoma" w:hAnsi="Tahoma" w:cs="Tahoma"/>
      <w:lang w:val="en-US" w:eastAsia="en-US"/>
    </w:rPr>
  </w:style>
  <w:style w:type="paragraph" w:styleId="af7">
    <w:name w:val="Balloon Text"/>
    <w:basedOn w:val="a"/>
    <w:uiPriority w:val="99"/>
    <w:semiHidden/>
    <w:qFormat/>
    <w:rsid w:val="00CC71B3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uiPriority w:val="99"/>
    <w:qFormat/>
    <w:rsid w:val="00A441F6"/>
    <w:pPr>
      <w:spacing w:beforeAutospacing="1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Default">
    <w:name w:val="Default"/>
    <w:qFormat/>
    <w:rsid w:val="00BB193C"/>
    <w:rPr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9975AF"/>
  </w:style>
  <w:style w:type="paragraph" w:styleId="af9">
    <w:name w:val="annotation subject"/>
    <w:basedOn w:val="af8"/>
    <w:uiPriority w:val="99"/>
    <w:semiHidden/>
    <w:unhideWhenUsed/>
    <w:qFormat/>
    <w:rsid w:val="009975AF"/>
    <w:rPr>
      <w:b/>
      <w:bCs/>
    </w:rPr>
  </w:style>
  <w:style w:type="paragraph" w:styleId="afa">
    <w:name w:val="List Paragraph"/>
    <w:basedOn w:val="a"/>
    <w:uiPriority w:val="34"/>
    <w:qFormat/>
    <w:rsid w:val="00234245"/>
    <w:pPr>
      <w:ind w:left="720"/>
      <w:contextualSpacing/>
    </w:pPr>
  </w:style>
  <w:style w:type="paragraph" w:styleId="afb">
    <w:name w:val="Title"/>
    <w:basedOn w:val="a"/>
    <w:uiPriority w:val="1"/>
    <w:qFormat/>
    <w:locked/>
    <w:rsid w:val="002F4886"/>
    <w:pPr>
      <w:widowControl w:val="0"/>
      <w:spacing w:before="102"/>
      <w:ind w:left="273" w:right="115"/>
      <w:textAlignment w:val="auto"/>
    </w:pPr>
    <w:rPr>
      <w:rFonts w:ascii="Arial" w:eastAsia="Arial" w:hAnsi="Arial" w:cs="Arial"/>
      <w:b/>
      <w:bCs/>
      <w:sz w:val="40"/>
      <w:szCs w:val="40"/>
      <w:lang w:eastAsia="en-US"/>
    </w:rPr>
  </w:style>
  <w:style w:type="paragraph" w:styleId="ae">
    <w:name w:val="Body Text Indent"/>
    <w:basedOn w:val="a"/>
    <w:link w:val="ad"/>
    <w:rsid w:val="000757CC"/>
    <w:pPr>
      <w:spacing w:after="120"/>
      <w:ind w:left="283"/>
      <w:textAlignment w:val="auto"/>
    </w:pPr>
    <w:rPr>
      <w:sz w:val="24"/>
      <w:szCs w:val="24"/>
    </w:rPr>
  </w:style>
  <w:style w:type="paragraph" w:customStyle="1" w:styleId="ConsPlusNormal">
    <w:name w:val="ConsPlusNormal"/>
    <w:qFormat/>
    <w:rsid w:val="00FD5B62"/>
    <w:pPr>
      <w:widowControl w:val="0"/>
    </w:pPr>
    <w:rPr>
      <w:rFonts w:ascii="Calibri" w:eastAsiaTheme="minorEastAsia" w:hAnsi="Calibri" w:cs="Calibri"/>
      <w:sz w:val="22"/>
    </w:rPr>
  </w:style>
  <w:style w:type="paragraph" w:styleId="af0">
    <w:name w:val="Normal (Web)"/>
    <w:basedOn w:val="a"/>
    <w:link w:val="af"/>
    <w:uiPriority w:val="99"/>
    <w:unhideWhenUsed/>
    <w:qFormat/>
    <w:rsid w:val="00C95576"/>
    <w:pPr>
      <w:spacing w:beforeAutospacing="1" w:afterAutospacing="1"/>
      <w:textAlignment w:val="auto"/>
    </w:pPr>
    <w:rPr>
      <w:sz w:val="24"/>
      <w:szCs w:val="24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156F50"/>
    <w:pPr>
      <w:spacing w:after="120"/>
      <w:ind w:left="283"/>
    </w:pPr>
    <w:rPr>
      <w:sz w:val="16"/>
      <w:szCs w:val="16"/>
    </w:rPr>
  </w:style>
  <w:style w:type="table" w:styleId="afc">
    <w:name w:val="Table Grid"/>
    <w:basedOn w:val="a1"/>
    <w:uiPriority w:val="59"/>
    <w:rsid w:val="00743B3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C40D-326F-4613-A762-08A8ECA1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Инфотд</dc:creator>
  <dc:description/>
  <cp:lastModifiedBy>Admin</cp:lastModifiedBy>
  <cp:revision>2</cp:revision>
  <dcterms:created xsi:type="dcterms:W3CDTF">2026-01-16T11:05:00Z</dcterms:created>
  <dcterms:modified xsi:type="dcterms:W3CDTF">2026-01-16T11:05:00Z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